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spacing w:after="180" w:before="180" w:line="276" w:lineRule="auto"/>
        <w:ind w:left="0" w:firstLine="0"/>
        <w:rPr>
          <w:color w:val="444746"/>
          <w:sz w:val="6"/>
          <w:szCs w:val="6"/>
        </w:rPr>
      </w:pPr>
      <w:r w:rsidDel="00000000" w:rsidR="00000000" w:rsidRPr="00000000">
        <w:rPr>
          <w:rtl w:val="0"/>
        </w:rPr>
      </w:r>
    </w:p>
    <w:tbl>
      <w:tblPr>
        <w:tblStyle w:val="Table1"/>
        <w:tblW w:w="155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480"/>
        <w:gridCol w:w="6255"/>
        <w:gridCol w:w="915"/>
        <w:gridCol w:w="690"/>
        <w:gridCol w:w="645"/>
        <w:gridCol w:w="825"/>
        <w:gridCol w:w="3930"/>
        <w:tblGridChange w:id="0">
          <w:tblGrid>
            <w:gridCol w:w="1800"/>
            <w:gridCol w:w="480"/>
            <w:gridCol w:w="6255"/>
            <w:gridCol w:w="915"/>
            <w:gridCol w:w="690"/>
            <w:gridCol w:w="645"/>
            <w:gridCol w:w="825"/>
            <w:gridCol w:w="3930"/>
          </w:tblGrid>
        </w:tblGridChange>
      </w:tblGrid>
      <w:tr>
        <w:trPr>
          <w:cantSplit w:val="0"/>
          <w:trHeight w:val="858.4239999999999" w:hRule="atLeast"/>
          <w:tblHeader w:val="1"/>
        </w:trPr>
        <w:tc>
          <w:tcPr>
            <w:gridSpan w:val="3"/>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spacing w:after="0" w:line="192.00000000000003" w:lineRule="auto"/>
              <w:rPr>
                <w:color w:val="444746"/>
                <w:sz w:val="20"/>
                <w:szCs w:val="20"/>
              </w:rPr>
            </w:pPr>
            <w:r w:rsidDel="00000000" w:rsidR="00000000" w:rsidRPr="00000000">
              <w:rPr>
                <w:rFonts w:ascii="Asap" w:cs="Asap" w:eastAsia="Asap" w:hAnsi="Asap"/>
                <w:b w:val="1"/>
                <w:rtl w:val="0"/>
              </w:rPr>
              <w:t xml:space="preserve">Grille d'évaluation</w:t>
            </w:r>
            <w:r w:rsidDel="00000000" w:rsidR="00000000" w:rsidRPr="00000000">
              <w:rPr>
                <w:rFonts w:ascii="Asap" w:cs="Asap" w:eastAsia="Asap" w:hAnsi="Asap"/>
                <w:b w:val="1"/>
                <w:rtl w:val="0"/>
              </w:rPr>
              <w:t xml:space="preserve"> (cadre légal, qualité du contenu, accessibilité, qualité de la langue)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after="0" w:line="192.00000000000003" w:lineRule="auto"/>
              <w:rPr>
                <w:rFonts w:ascii="Asap" w:cs="Asap" w:eastAsia="Asap" w:hAnsi="Asap"/>
                <w:color w:val="444746"/>
                <w:sz w:val="17"/>
                <w:szCs w:val="17"/>
              </w:rPr>
            </w:pPr>
            <w:r w:rsidDel="00000000" w:rsidR="00000000" w:rsidRPr="00000000">
              <w:rPr>
                <w:rFonts w:ascii="Asap" w:cs="Asap" w:eastAsia="Asap" w:hAnsi="Asap"/>
                <w:sz w:val="17"/>
                <w:szCs w:val="17"/>
                <w:rtl w:val="0"/>
              </w:rPr>
              <w:t xml:space="preserve">Insuffisant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spacing w:after="0" w:line="192.00000000000003" w:lineRule="auto"/>
              <w:rPr>
                <w:rFonts w:ascii="Asap" w:cs="Asap" w:eastAsia="Asap" w:hAnsi="Asap"/>
                <w:color w:val="444746"/>
                <w:sz w:val="17"/>
                <w:szCs w:val="17"/>
              </w:rPr>
            </w:pPr>
            <w:r w:rsidDel="00000000" w:rsidR="00000000" w:rsidRPr="00000000">
              <w:rPr>
                <w:rFonts w:ascii="Asap" w:cs="Asap" w:eastAsia="Asap" w:hAnsi="Asap"/>
                <w:sz w:val="17"/>
                <w:szCs w:val="17"/>
                <w:rtl w:val="0"/>
              </w:rPr>
              <w:t xml:space="preserve">En dessous du niveau ciblé</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after="0" w:line="192.00000000000003" w:lineRule="auto"/>
              <w:rPr>
                <w:rFonts w:ascii="Asap" w:cs="Asap" w:eastAsia="Asap" w:hAnsi="Asap"/>
                <w:color w:val="444746"/>
                <w:sz w:val="17"/>
                <w:szCs w:val="17"/>
              </w:rPr>
            </w:pPr>
            <w:r w:rsidDel="00000000" w:rsidR="00000000" w:rsidRPr="00000000">
              <w:rPr>
                <w:rFonts w:ascii="Asap" w:cs="Asap" w:eastAsia="Asap" w:hAnsi="Asap"/>
                <w:sz w:val="17"/>
                <w:szCs w:val="17"/>
                <w:rtl w:val="0"/>
              </w:rPr>
              <w:t xml:space="preserve">Au niveau ciblé</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after="0" w:line="192.00000000000003" w:lineRule="auto"/>
              <w:rPr>
                <w:rFonts w:ascii="Asap" w:cs="Asap" w:eastAsia="Asap" w:hAnsi="Asap"/>
                <w:color w:val="444746"/>
                <w:sz w:val="17"/>
                <w:szCs w:val="17"/>
              </w:rPr>
            </w:pPr>
            <w:r w:rsidDel="00000000" w:rsidR="00000000" w:rsidRPr="00000000">
              <w:rPr>
                <w:rFonts w:ascii="Asap" w:cs="Asap" w:eastAsia="Asap" w:hAnsi="Asap"/>
                <w:sz w:val="17"/>
                <w:szCs w:val="17"/>
                <w:rtl w:val="0"/>
              </w:rPr>
              <w:t xml:space="preserve">Au-dessus du niveau ciblé</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spacing w:after="0" w:line="192.00000000000003" w:lineRule="auto"/>
              <w:rPr>
                <w:rFonts w:ascii="Asap" w:cs="Asap" w:eastAsia="Asap" w:hAnsi="Asap"/>
                <w:color w:val="444746"/>
                <w:sz w:val="19"/>
                <w:szCs w:val="19"/>
              </w:rPr>
            </w:pPr>
            <w:r w:rsidDel="00000000" w:rsidR="00000000" w:rsidRPr="00000000">
              <w:rPr>
                <w:rFonts w:ascii="Asap" w:cs="Asap" w:eastAsia="Asap" w:hAnsi="Asap"/>
                <w:sz w:val="19"/>
                <w:szCs w:val="19"/>
                <w:rtl w:val="0"/>
              </w:rPr>
              <w:t xml:space="preserve"> Insérez ici vos commentaires pendant l'évaluation ou l’auto-évaluation</w:t>
            </w:r>
            <w:r w:rsidDel="00000000" w:rsidR="00000000" w:rsidRPr="00000000">
              <w:rPr>
                <w:rtl w:val="0"/>
              </w:rPr>
            </w:r>
          </w:p>
        </w:tc>
      </w:tr>
      <w:tr>
        <w:trPr>
          <w:cantSplit w:val="0"/>
          <w:trHeight w:val="1095" w:hRule="atLeast"/>
          <w:tblHeader w:val="0"/>
        </w:trPr>
        <w:tc>
          <w:tcPr>
            <w:vMerge w:val="restart"/>
            <w:shd w:fill="efe2ed"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after="40" w:line="240" w:lineRule="auto"/>
              <w:rPr>
                <w:rFonts w:ascii="Asap" w:cs="Asap" w:eastAsia="Asap" w:hAnsi="Asap"/>
                <w:b w:val="1"/>
                <w:color w:val="444746"/>
                <w:sz w:val="26"/>
                <w:szCs w:val="26"/>
              </w:rPr>
            </w:pPr>
            <w:r w:rsidDel="00000000" w:rsidR="00000000" w:rsidRPr="00000000">
              <w:rPr>
                <w:rFonts w:ascii="Asap" w:cs="Asap" w:eastAsia="Asap" w:hAnsi="Asap"/>
                <w:b w:val="1"/>
                <w:color w:val="434343"/>
                <w:sz w:val="28"/>
                <w:szCs w:val="28"/>
                <w:rtl w:val="0"/>
              </w:rPr>
              <w:t xml:space="preserve">Cadre légal</w:t>
            </w:r>
            <w:r w:rsidDel="00000000" w:rsidR="00000000" w:rsidRPr="00000000">
              <w:rPr>
                <w:rtl w:val="0"/>
              </w:rPr>
            </w:r>
          </w:p>
        </w:tc>
        <w:tc>
          <w:tcPr>
            <w:shd w:fill="efe2ed"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1</w:t>
            </w:r>
          </w:p>
        </w:tc>
        <w:tc>
          <w:tcPr>
            <w:shd w:fill="efe2ed"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Attribution, Licence et Logos</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L'attribution (</w:t>
            </w:r>
            <w:r w:rsidDel="00000000" w:rsidR="00000000" w:rsidRPr="00000000">
              <w:rPr>
                <w:rFonts w:ascii="Asap" w:cs="Asap" w:eastAsia="Asap" w:hAnsi="Asap"/>
                <w:color w:val="434343"/>
                <w:sz w:val="22"/>
                <w:szCs w:val="22"/>
                <w:rtl w:val="0"/>
              </w:rPr>
              <w:t xml:space="preserve">la licence et son icône</w:t>
            </w:r>
            <w:r w:rsidDel="00000000" w:rsidR="00000000" w:rsidRPr="00000000">
              <w:rPr>
                <w:rFonts w:ascii="Asap" w:cs="Asap" w:eastAsia="Asap" w:hAnsi="Asap"/>
                <w:color w:val="434343"/>
                <w:sz w:val="22"/>
                <w:szCs w:val="22"/>
                <w:rtl w:val="0"/>
              </w:rPr>
              <w:t xml:space="preserve">) et l’identification des auteur.rices sont clairement indiquées dans la ressource et tous les éléments détachables de la ressource (annexe, tableau, etc). </w:t>
            </w:r>
            <w:r w:rsidDel="00000000" w:rsidR="00000000" w:rsidRPr="00000000">
              <w:rPr>
                <w:rFonts w:ascii="Asap" w:cs="Asap" w:eastAsia="Asap" w:hAnsi="Asap"/>
                <w:color w:val="434343"/>
                <w:sz w:val="22"/>
                <w:szCs w:val="22"/>
                <w:rtl w:val="0"/>
              </w:rPr>
              <w:t xml:space="preserve"> Le statut du document est précisé (produit original, produit dérivé ou autre). Les logos nécessaires ont été ajoutés</w:t>
            </w:r>
            <w:r w:rsidDel="00000000" w:rsidR="00000000" w:rsidRPr="00000000">
              <w:rPr>
                <w:rFonts w:ascii="Calibri" w:cs="Calibri" w:eastAsia="Calibri" w:hAnsi="Calibri"/>
                <w:color w:val="434343"/>
                <w:sz w:val="22"/>
                <w:szCs w:val="22"/>
                <w:rtl w:val="0"/>
              </w:rPr>
              <w:t xml:space="preserve"> (celui de l’établissement d’attache et des partenaires).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0"/>
          <w:trHeight w:val="796.8000000000001" w:hRule="atLeast"/>
          <w:tblHeader w:val="0"/>
        </w:trPr>
        <w:tc>
          <w:tcPr>
            <w:vMerge w:val="continue"/>
            <w:shd w:fill="efe2ed" w:val="clear"/>
            <w:tcMar>
              <w:top w:w="100.0" w:type="dxa"/>
              <w:left w:w="100.0" w:type="dxa"/>
              <w:bottom w:w="100.0" w:type="dxa"/>
              <w:right w:w="100.0" w:type="dxa"/>
            </w:tcM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sap" w:cs="Asap" w:eastAsia="Asap" w:hAnsi="Asap"/>
                <w:color w:val="444746"/>
                <w:sz w:val="20"/>
                <w:szCs w:val="20"/>
              </w:rPr>
            </w:pPr>
            <w:r w:rsidDel="00000000" w:rsidR="00000000" w:rsidRPr="00000000">
              <w:rPr>
                <w:rtl w:val="0"/>
              </w:rPr>
            </w:r>
          </w:p>
        </w:tc>
        <w:tc>
          <w:tcPr>
            <w:shd w:fill="efe2ed"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2 </w:t>
            </w:r>
          </w:p>
        </w:tc>
        <w:tc>
          <w:tcPr>
            <w:shd w:fill="efe2ed"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Références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i w:val="1"/>
                <w:color w:val="434343"/>
                <w:sz w:val="22"/>
                <w:szCs w:val="22"/>
              </w:rPr>
            </w:pPr>
            <w:r w:rsidDel="00000000" w:rsidR="00000000" w:rsidRPr="00000000">
              <w:rPr>
                <w:rFonts w:ascii="Asap" w:cs="Asap" w:eastAsia="Asap" w:hAnsi="Asap"/>
                <w:color w:val="434343"/>
                <w:sz w:val="22"/>
                <w:szCs w:val="22"/>
                <w:rtl w:val="0"/>
              </w:rPr>
              <w:t xml:space="preserve">La référence pour citer la ressource est incluse et contient les références de toutes sources utilisées pour la constituer</w:t>
            </w:r>
            <w:r w:rsidDel="00000000" w:rsidR="00000000" w:rsidRPr="00000000">
              <w:rPr>
                <w:rFonts w:ascii="Asap" w:cs="Asap" w:eastAsia="Asap" w:hAnsi="Asap"/>
                <w:color w:val="434343"/>
                <w:sz w:val="22"/>
                <w:szCs w:val="22"/>
                <w:rtl w:val="0"/>
              </w:rPr>
              <w:t xml:space="preserve">, </w:t>
            </w:r>
            <w:r w:rsidDel="00000000" w:rsidR="00000000" w:rsidRPr="00000000">
              <w:rPr>
                <w:rFonts w:ascii="Asap" w:cs="Asap" w:eastAsia="Asap" w:hAnsi="Asap"/>
                <w:color w:val="434343"/>
                <w:sz w:val="22"/>
                <w:szCs w:val="22"/>
                <w:rtl w:val="0"/>
              </w:rPr>
              <w:t xml:space="preserve">ainsi qu’une liste bibliographique à la fin.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0"/>
          <w:trHeight w:val="796.8000000000001" w:hRule="atLeast"/>
          <w:tblHeader w:val="0"/>
        </w:trPr>
        <w:tc>
          <w:tcPr>
            <w:vMerge w:val="continue"/>
            <w:shd w:fill="efe2ed"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sap" w:cs="Asap" w:eastAsia="Asap" w:hAnsi="Asap"/>
                <w:color w:val="444746"/>
                <w:sz w:val="20"/>
                <w:szCs w:val="20"/>
              </w:rPr>
            </w:pPr>
            <w:r w:rsidDel="00000000" w:rsidR="00000000" w:rsidRPr="00000000">
              <w:rPr>
                <w:rtl w:val="0"/>
              </w:rPr>
            </w:r>
          </w:p>
        </w:tc>
        <w:tc>
          <w:tcPr>
            <w:shd w:fill="efe2ed"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3</w:t>
            </w:r>
          </w:p>
        </w:tc>
        <w:tc>
          <w:tcPr>
            <w:shd w:fill="efe2ed"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Consentement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Dans le cas où la créatrice ou le créateur a réalisé elle-même ou lui-même une vidéo ou un enregistrement qui sont intégrés dans la RÉL, il est indiqué que les consentements ont été obtenus dans l’attribution, la bibliographie ou les remerciements..  </w:t>
            </w:r>
          </w:p>
        </w:tc>
        <w:tc>
          <w:tcP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0"/>
          <w:trHeight w:val="916.8000000000001" w:hRule="atLeast"/>
          <w:tblHeader w:val="0"/>
        </w:trPr>
        <w:tc>
          <w:tcPr>
            <w:vMerge w:val="restart"/>
            <w:shd w:fill="cff4e4" w:val="clear"/>
            <w:vAlign w:val="center"/>
          </w:tcPr>
          <w:p w:rsidR="00000000" w:rsidDel="00000000" w:rsidP="00000000" w:rsidRDefault="00000000" w:rsidRPr="00000000" w14:paraId="00000025">
            <w:pPr>
              <w:widowControl w:val="0"/>
              <w:spacing w:after="0" w:line="192.00000000000003" w:lineRule="auto"/>
              <w:rPr>
                <w:rFonts w:ascii="Asap" w:cs="Asap" w:eastAsia="Asap" w:hAnsi="Asap"/>
                <w:b w:val="1"/>
                <w:color w:val="444746"/>
                <w:sz w:val="28"/>
                <w:szCs w:val="28"/>
              </w:rPr>
            </w:pPr>
            <w:r w:rsidDel="00000000" w:rsidR="00000000" w:rsidRPr="00000000">
              <w:rPr>
                <w:rFonts w:ascii="Asap" w:cs="Asap" w:eastAsia="Asap" w:hAnsi="Asap"/>
                <w:b w:val="1"/>
                <w:color w:val="444746"/>
                <w:sz w:val="28"/>
                <w:szCs w:val="28"/>
                <w:rtl w:val="0"/>
              </w:rPr>
              <w:t xml:space="preserve">Qualité du contenu</w:t>
            </w:r>
          </w:p>
        </w:tc>
        <w:tc>
          <w:tcPr>
            <w:shd w:fill="cff4e4"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4</w:t>
            </w:r>
          </w:p>
        </w:tc>
        <w:tc>
          <w:tcPr>
            <w:shd w:fill="cff4e4"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Liens avec les programmes scolaires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Le texte couvre tous les domaines et toutes les thématiques de manière appropriée selon les attentes des programmes scolaires et des niveaux visés.</w:t>
            </w:r>
          </w:p>
        </w:tc>
        <w:tc>
          <w:tcP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0"/>
          <w:trHeight w:val="400" w:hRule="atLeast"/>
          <w:tblHeader w:val="0"/>
        </w:trPr>
        <w:tc>
          <w:tcPr>
            <w:vMerge w:val="continue"/>
            <w:shd w:fill="cff4e4" w:val="clear"/>
            <w:tcMar>
              <w:top w:w="100.0" w:type="dxa"/>
              <w:left w:w="100.0" w:type="dxa"/>
              <w:bottom w:w="100.0" w:type="dxa"/>
              <w:right w:w="100.0" w:type="dxa"/>
            </w:tcM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sap" w:cs="Asap" w:eastAsia="Asap" w:hAnsi="Asap"/>
                <w:color w:val="444746"/>
                <w:sz w:val="20"/>
                <w:szCs w:val="20"/>
              </w:rPr>
            </w:pPr>
            <w:r w:rsidDel="00000000" w:rsidR="00000000" w:rsidRPr="00000000">
              <w:rPr>
                <w:rtl w:val="0"/>
              </w:rPr>
            </w:r>
          </w:p>
        </w:tc>
        <w:tc>
          <w:tcPr>
            <w:shd w:fill="cff4e4"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5</w:t>
            </w:r>
          </w:p>
        </w:tc>
        <w:tc>
          <w:tcPr>
            <w:shd w:fill="cff4e4"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Qualité pédagogique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Le texte suit une approche pédagogique respectueuse des bonnes pratiques mises en avant dans les documents ministériels et les recherches récentes dans le domaine de l’éducation.</w:t>
            </w:r>
            <w:r w:rsidDel="00000000" w:rsidR="00000000" w:rsidRPr="00000000">
              <w:rPr>
                <w:rFonts w:ascii="Asap" w:cs="Asap" w:eastAsia="Asap" w:hAnsi="Asap"/>
                <w:color w:val="434343"/>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1"/>
          <w:trHeight w:val="475.08661417322844" w:hRule="atLeast"/>
          <w:tblHeader w:val="0"/>
        </w:trPr>
        <w:tc>
          <w:tcPr>
            <w:vMerge w:val="continue"/>
            <w:shd w:fill="cff4e4"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sap" w:cs="Asap" w:eastAsia="Asap" w:hAnsi="Asap"/>
                <w:color w:val="444746"/>
                <w:sz w:val="20"/>
                <w:szCs w:val="20"/>
              </w:rPr>
            </w:pPr>
            <w:r w:rsidDel="00000000" w:rsidR="00000000" w:rsidRPr="00000000">
              <w:rPr>
                <w:rtl w:val="0"/>
              </w:rPr>
            </w:r>
          </w:p>
        </w:tc>
        <w:tc>
          <w:tcPr>
            <w:shd w:fill="cff4e4"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6</w:t>
            </w:r>
          </w:p>
        </w:tc>
        <w:tc>
          <w:tcPr>
            <w:shd w:fill="cff4e4"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Contenu fiable</w:t>
            </w:r>
          </w:p>
          <w:p w:rsidR="00000000" w:rsidDel="00000000" w:rsidP="00000000" w:rsidRDefault="00000000" w:rsidRPr="00000000" w14:paraId="0000003A">
            <w:pPr>
              <w:widowControl w:val="0"/>
              <w:spacing w:after="40" w:line="240" w:lineRule="auto"/>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Le contenu est fiable, sans erreurs, impartial et à jour en termes d’idées présentées et d’information véhiculée.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0"/>
          <w:trHeight w:val="400" w:hRule="atLeast"/>
          <w:tblHeader w:val="0"/>
        </w:trPr>
        <w:tc>
          <w:tcPr>
            <w:vMerge w:val="restart"/>
            <w:shd w:fill="cfe2f3"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rFonts w:ascii="Asap" w:cs="Asap" w:eastAsia="Asap" w:hAnsi="Asap"/>
                <w:b w:val="1"/>
                <w:color w:val="444746"/>
                <w:sz w:val="28"/>
                <w:szCs w:val="28"/>
              </w:rPr>
            </w:pPr>
            <w:r w:rsidDel="00000000" w:rsidR="00000000" w:rsidRPr="00000000">
              <w:rPr>
                <w:rFonts w:ascii="Asap" w:cs="Asap" w:eastAsia="Asap" w:hAnsi="Asap"/>
                <w:b w:val="1"/>
                <w:color w:val="444746"/>
                <w:sz w:val="28"/>
                <w:szCs w:val="28"/>
                <w:rtl w:val="0"/>
              </w:rPr>
              <w:t xml:space="preserve">Accessibilité</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192.00000000000003" w:lineRule="auto"/>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7</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Pédagogie sensible à la diversité </w:t>
            </w:r>
            <w:r w:rsidDel="00000000" w:rsidR="00000000" w:rsidRPr="00000000">
              <w:rPr>
                <w:rFonts w:ascii="Asap" w:cs="Asap" w:eastAsia="Asap" w:hAnsi="Asap"/>
                <w:b w:val="1"/>
                <w:color w:val="434343"/>
                <w:sz w:val="22"/>
                <w:szCs w:val="22"/>
                <w:rtl w:val="0"/>
              </w:rPr>
              <w:t xml:space="preserve">sexuelle et socioculturelle</w:t>
            </w:r>
            <w:r w:rsidDel="00000000" w:rsidR="00000000" w:rsidRPr="00000000">
              <w:rPr>
                <w:rFonts w:ascii="Asap" w:cs="Asap" w:eastAsia="Asap" w:hAnsi="Asap"/>
                <w:b w:val="1"/>
                <w:color w:val="434343"/>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043">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color w:val="434343"/>
                <w:sz w:val="22"/>
                <w:szCs w:val="22"/>
                <w:rtl w:val="0"/>
              </w:rPr>
              <w:t xml:space="preserve">Le texte est respectueux des cultures plurielles. Il utilise des exemples qui tiennent compte de la diversité, l’inclusion et de l’équité pour engager divers types d’apprenant.es. Il ne contient pas de stéréotype et ne discrimine aucun groupe.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4">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5">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6">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7">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8">
            <w:pPr>
              <w:widowControl w:val="0"/>
              <w:spacing w:after="40" w:line="240" w:lineRule="auto"/>
              <w:rPr>
                <w:rFonts w:ascii="Asap" w:cs="Asap" w:eastAsia="Asap" w:hAnsi="Asap"/>
                <w:color w:val="434343"/>
                <w:sz w:val="20"/>
                <w:szCs w:val="20"/>
              </w:rPr>
            </w:pPr>
            <w:r w:rsidDel="00000000" w:rsidR="00000000" w:rsidRPr="00000000">
              <w:rPr>
                <w:rtl w:val="0"/>
              </w:rPr>
            </w:r>
          </w:p>
        </w:tc>
      </w:tr>
      <w:tr>
        <w:trPr>
          <w:cantSplit w:val="0"/>
          <w:trHeight w:val="400" w:hRule="atLeast"/>
          <w:tblHeader w:val="0"/>
        </w:trPr>
        <w:tc>
          <w:tcPr>
            <w:vMerge w:val="continue"/>
            <w:shd w:fill="cfe2f3"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rPr>
                <w:rFonts w:ascii="Asap" w:cs="Asap" w:eastAsia="Asap" w:hAnsi="Asap"/>
                <w:b w:val="1"/>
                <w:color w:val="444746"/>
                <w:sz w:val="28"/>
                <w:szCs w:val="28"/>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0" w:line="192.00000000000003" w:lineRule="auto"/>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8</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Modularité et Respect des pratiques d’accessibilité</w:t>
            </w:r>
          </w:p>
          <w:p w:rsidR="00000000" w:rsidDel="00000000" w:rsidP="00000000" w:rsidRDefault="00000000" w:rsidRPr="00000000" w14:paraId="0000004C">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color w:val="434343"/>
                <w:sz w:val="22"/>
                <w:szCs w:val="22"/>
                <w:rtl w:val="0"/>
              </w:rPr>
              <w:t xml:space="preserve">Le texte propose diverses façons de présenter l’information, respecte les bonnes pratiques d’accessibilité et/ou se décompose facilement en sous-parties exploitables pour divers types d’apprenant.e.s.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D">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E">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F">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0">
            <w:pPr>
              <w:widowControl w:val="0"/>
              <w:spacing w:after="40" w:line="240" w:lineRule="auto"/>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1">
            <w:pPr>
              <w:widowControl w:val="0"/>
              <w:spacing w:after="40" w:line="240" w:lineRule="auto"/>
              <w:rPr>
                <w:rFonts w:ascii="Asap" w:cs="Asap" w:eastAsia="Asap" w:hAnsi="Asap"/>
                <w:color w:val="434343"/>
                <w:sz w:val="20"/>
                <w:szCs w:val="20"/>
              </w:rPr>
            </w:pPr>
            <w:r w:rsidDel="00000000" w:rsidR="00000000" w:rsidRPr="00000000">
              <w:rPr>
                <w:rtl w:val="0"/>
              </w:rPr>
            </w:r>
          </w:p>
        </w:tc>
      </w:tr>
      <w:tr>
        <w:trPr>
          <w:cantSplit w:val="0"/>
          <w:trHeight w:val="400" w:hRule="atLeast"/>
          <w:tblHeader w:val="0"/>
        </w:trPr>
        <w:tc>
          <w:tcPr>
            <w:vMerge w:val="restart"/>
            <w:shd w:fill="ffefd0" w:val="clear"/>
            <w:tcMar>
              <w:top w:w="100.0" w:type="dxa"/>
              <w:left w:w="100.0" w:type="dxa"/>
              <w:bottom w:w="100.0" w:type="dxa"/>
              <w:right w:w="100.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b w:val="1"/>
                <w:color w:val="444746"/>
                <w:sz w:val="28"/>
                <w:szCs w:val="28"/>
              </w:rPr>
            </w:pPr>
            <w:r w:rsidDel="00000000" w:rsidR="00000000" w:rsidRPr="00000000">
              <w:rPr>
                <w:rFonts w:ascii="Asap" w:cs="Asap" w:eastAsia="Asap" w:hAnsi="Asap"/>
                <w:b w:val="1"/>
                <w:color w:val="444746"/>
                <w:sz w:val="28"/>
                <w:szCs w:val="28"/>
                <w:rtl w:val="0"/>
              </w:rPr>
              <w:t xml:space="preserve">Qualité de la langue</w:t>
            </w:r>
          </w:p>
        </w:tc>
        <w:tc>
          <w:tcPr>
            <w:shd w:fill="ffefd0"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9</w:t>
            </w:r>
          </w:p>
        </w:tc>
        <w:tc>
          <w:tcPr>
            <w:shd w:fill="ffefd0"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40" w:line="240" w:lineRule="auto"/>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Clarté et cohérence de la langue utilisée</w:t>
            </w:r>
          </w:p>
          <w:p w:rsidR="00000000" w:rsidDel="00000000" w:rsidP="00000000" w:rsidRDefault="00000000" w:rsidRPr="00000000" w14:paraId="00000055">
            <w:pPr>
              <w:widowControl w:val="0"/>
              <w:spacing w:after="40" w:line="240" w:lineRule="auto"/>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Le texte est écrit en termes clairs, intelligibles et met en contexte le jargon utilisé. Si nécessaire, un glossaire est fourni. Les sujets abordés sont présentés avec logique, cohérence terminologique et sans ambiguïté pour l'enseignant.e ou les élèves.</w:t>
            </w:r>
          </w:p>
        </w:tc>
        <w:tc>
          <w:tcP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r>
        <w:trPr>
          <w:cantSplit w:val="0"/>
          <w:trHeight w:val="400" w:hRule="atLeast"/>
          <w:tblHeader w:val="0"/>
        </w:trPr>
        <w:tc>
          <w:tcPr>
            <w:vMerge w:val="continue"/>
            <w:shd w:fill="ffefd0" w:val="clear"/>
            <w:tcMar>
              <w:top w:w="100.0" w:type="dxa"/>
              <w:left w:w="100.0" w:type="dxa"/>
              <w:bottom w:w="100.0" w:type="dxa"/>
              <w:right w:w="100.0" w:type="dxa"/>
            </w:tcM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sap" w:cs="Asap" w:eastAsia="Asap" w:hAnsi="Asap"/>
                <w:color w:val="444746"/>
                <w:sz w:val="20"/>
                <w:szCs w:val="20"/>
              </w:rPr>
            </w:pPr>
            <w:r w:rsidDel="00000000" w:rsidR="00000000" w:rsidRPr="00000000">
              <w:rPr>
                <w:rtl w:val="0"/>
              </w:rPr>
            </w:r>
          </w:p>
        </w:tc>
        <w:tc>
          <w:tcPr>
            <w:shd w:fill="ffefd0"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rFonts w:ascii="Asap" w:cs="Asap" w:eastAsia="Asap" w:hAnsi="Asap"/>
                <w:color w:val="444746"/>
                <w:sz w:val="20"/>
                <w:szCs w:val="20"/>
              </w:rPr>
            </w:pPr>
            <w:r w:rsidDel="00000000" w:rsidR="00000000" w:rsidRPr="00000000">
              <w:rPr>
                <w:rFonts w:ascii="Asap" w:cs="Asap" w:eastAsia="Asap" w:hAnsi="Asap"/>
                <w:color w:val="444746"/>
                <w:sz w:val="20"/>
                <w:szCs w:val="20"/>
                <w:rtl w:val="0"/>
              </w:rPr>
              <w:t xml:space="preserve">10</w:t>
            </w:r>
          </w:p>
        </w:tc>
        <w:tc>
          <w:tcPr>
            <w:shd w:fill="ffefd0"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b w:val="1"/>
                <w:color w:val="434343"/>
                <w:sz w:val="22"/>
                <w:szCs w:val="22"/>
              </w:rPr>
            </w:pPr>
            <w:r w:rsidDel="00000000" w:rsidR="00000000" w:rsidRPr="00000000">
              <w:rPr>
                <w:rFonts w:ascii="Asap" w:cs="Asap" w:eastAsia="Asap" w:hAnsi="Asap"/>
                <w:b w:val="1"/>
                <w:color w:val="434343"/>
                <w:sz w:val="22"/>
                <w:szCs w:val="22"/>
                <w:rtl w:val="0"/>
              </w:rPr>
              <w:t xml:space="preserve">Erreurs linguistiques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2"/>
                <w:szCs w:val="22"/>
              </w:rPr>
            </w:pPr>
            <w:r w:rsidDel="00000000" w:rsidR="00000000" w:rsidRPr="00000000">
              <w:rPr>
                <w:rFonts w:ascii="Asap" w:cs="Asap" w:eastAsia="Asap" w:hAnsi="Asap"/>
                <w:color w:val="434343"/>
                <w:sz w:val="22"/>
                <w:szCs w:val="22"/>
                <w:rtl w:val="0"/>
              </w:rPr>
              <w:t xml:space="preserve">Le texte ne contient aucune erreur d’orthographe, de lexique, de grammaire, de syntaxe ou de ponctuation.</w:t>
            </w:r>
          </w:p>
        </w:tc>
        <w:tc>
          <w:tcP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sap" w:cs="Asap" w:eastAsia="Asap" w:hAnsi="Asap"/>
                <w:color w:val="434343"/>
                <w:sz w:val="20"/>
                <w:szCs w:val="20"/>
              </w:rPr>
            </w:pPr>
            <w:r w:rsidDel="00000000" w:rsidR="00000000" w:rsidRPr="00000000">
              <w:rPr>
                <w:rtl w:val="0"/>
              </w:rPr>
            </w:r>
          </w:p>
        </w:tc>
      </w:tr>
    </w:tbl>
    <w:p w:rsidR="00000000" w:rsidDel="00000000" w:rsidP="00000000" w:rsidRDefault="00000000" w:rsidRPr="00000000" w14:paraId="00000064">
      <w:pPr>
        <w:pStyle w:val="Subtitle"/>
        <w:spacing w:after="0" w:line="264" w:lineRule="auto"/>
        <w:ind w:left="0" w:firstLine="0"/>
        <w:jc w:val="left"/>
        <w:rPr>
          <w:sz w:val="30"/>
          <w:szCs w:val="30"/>
        </w:rPr>
      </w:pPr>
      <w:bookmarkStart w:colFirst="0" w:colLast="0" w:name="_k53dzjr6u5z1" w:id="0"/>
      <w:bookmarkEnd w:id="0"/>
      <w:r w:rsidDel="00000000" w:rsidR="00000000" w:rsidRPr="00000000">
        <w:rPr>
          <w:rtl w:val="0"/>
        </w:rPr>
      </w:r>
    </w:p>
    <w:p w:rsidR="00000000" w:rsidDel="00000000" w:rsidP="00000000" w:rsidRDefault="00000000" w:rsidRPr="00000000" w14:paraId="00000065">
      <w:pPr>
        <w:spacing w:after="0" w:line="276" w:lineRule="auto"/>
        <w:ind w:left="0" w:firstLine="0"/>
        <w:rPr>
          <w:color w:val="444746"/>
          <w:sz w:val="20"/>
          <w:szCs w:val="20"/>
        </w:rPr>
      </w:pPr>
      <w:r w:rsidDel="00000000" w:rsidR="00000000" w:rsidRPr="00000000">
        <w:rPr>
          <w:rtl w:val="0"/>
        </w:rPr>
      </w:r>
    </w:p>
    <w:sectPr>
      <w:headerReference r:id="rId7" w:type="default"/>
      <w:headerReference r:id="rId8" w:type="first"/>
      <w:footerReference r:id="rId9" w:type="default"/>
      <w:footerReference r:id="rId10" w:type="first"/>
      <w:pgSz w:h="12240" w:w="15840" w:orient="landscape"/>
      <w:pgMar w:bottom="720.0000000000001" w:top="720.0000000000001" w:left="720.0000000000001" w:right="720.0000000000001"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sap">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sap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198.42519685039292" w:hanging="425.1968503937008"/>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tabs>
        <w:tab w:val="center" w:leader="none" w:pos="4703"/>
        <w:tab w:val="right" w:leader="none" w:pos="10489"/>
      </w:tabs>
      <w:spacing w:after="0" w:line="240" w:lineRule="auto"/>
      <w:ind w:right="-340.1574803149583"/>
      <w:jc w:val="right"/>
      <w:rPr>
        <w:sz w:val="20"/>
        <w:szCs w:val="20"/>
      </w:rPr>
    </w:pP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8343900</wp:posOffset>
          </wp:positionH>
          <wp:positionV relativeFrom="paragraph">
            <wp:posOffset>-302386</wp:posOffset>
          </wp:positionV>
          <wp:extent cx="1028938" cy="360000"/>
          <wp:effectExtent b="0" l="0" r="0" t="0"/>
          <wp:wrapNone/>
          <wp:docPr descr="Une image contenant Police, symbole, Graphique, capture d’écran&#10;&#10;Description générée automatiquement" id="2" name="image2.png"/>
          <a:graphic>
            <a:graphicData uri="http://schemas.openxmlformats.org/drawingml/2006/picture">
              <pic:pic>
                <pic:nvPicPr>
                  <pic:cNvPr descr="Une image contenant Police, symbole, Graphique, capture d’écran&#10;&#10;Description générée automatiquement" id="0" name="image2.png"/>
                  <pic:cNvPicPr preferRelativeResize="0"/>
                </pic:nvPicPr>
                <pic:blipFill>
                  <a:blip r:embed="rId1"/>
                  <a:srcRect b="0" l="0" r="0" t="0"/>
                  <a:stretch>
                    <a:fillRect/>
                  </a:stretch>
                </pic:blipFill>
                <pic:spPr>
                  <a:xfrm>
                    <a:off x="0" y="0"/>
                    <a:ext cx="1028938" cy="36000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C">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16"/>
            <w:szCs w:val="16"/>
            <w:u w:val="single"/>
            <w:rtl w:val="0"/>
          </w:rPr>
          <w:t xml:space="preserve">Guide de bonnes pratiques pour la production de ressources éducatives numériques</w:t>
        </w:r>
      </w:hyperlink>
      <w:r w:rsidDel="00000000" w:rsidR="00000000" w:rsidRPr="00000000">
        <w:rPr>
          <w:sz w:val="16"/>
          <w:szCs w:val="16"/>
          <w:rtl w:val="0"/>
        </w:rPr>
        <w:t xml:space="preserve"> © Gouvernement du Québec Ministère de l’Éducation, 2021.</w:t>
      </w:r>
    </w:p>
    <w:p w:rsidR="00000000" w:rsidDel="00000000" w:rsidP="00000000" w:rsidRDefault="00000000" w:rsidRPr="00000000" w14:paraId="0000006D">
      <w:pPr>
        <w:spacing w:after="0" w:line="240" w:lineRule="auto"/>
        <w:rPr>
          <w:sz w:val="16"/>
          <w:szCs w:val="16"/>
        </w:rPr>
      </w:pPr>
      <w:r w:rsidDel="00000000" w:rsidR="00000000" w:rsidRPr="00000000">
        <w:rPr>
          <w:rtl w:val="0"/>
        </w:rPr>
      </w:r>
    </w:p>
    <w:p w:rsidR="00000000" w:rsidDel="00000000" w:rsidP="00000000" w:rsidRDefault="00000000" w:rsidRPr="00000000" w14:paraId="0000006E">
      <w:pPr>
        <w:pStyle w:val="Subtitle"/>
        <w:spacing w:after="0" w:line="264" w:lineRule="auto"/>
        <w:jc w:val="left"/>
        <w:rPr>
          <w:rFonts w:ascii="Montserrat" w:cs="Montserrat" w:eastAsia="Montserrat" w:hAnsi="Montserrat"/>
          <w:color w:val="000000"/>
          <w:sz w:val="18"/>
          <w:szCs w:val="18"/>
        </w:rPr>
      </w:pPr>
      <w:bookmarkStart w:colFirst="0" w:colLast="0" w:name="_gofqo6igq7v8" w:id="3"/>
      <w:bookmarkEnd w:id="3"/>
      <w:r w:rsidDel="00000000" w:rsidR="00000000" w:rsidRPr="00000000">
        <w:rPr>
          <w:rFonts w:ascii="Montserrat" w:cs="Montserrat" w:eastAsia="Montserrat" w:hAnsi="Montserrat"/>
          <w:color w:val="000000"/>
          <w:sz w:val="18"/>
          <w:szCs w:val="18"/>
          <w:rtl w:val="0"/>
        </w:rPr>
        <w:t xml:space="preserve">Cette ressource, </w:t>
      </w:r>
      <w:r w:rsidDel="00000000" w:rsidR="00000000" w:rsidRPr="00000000">
        <w:rPr>
          <w:rFonts w:ascii="Montserrat" w:cs="Montserrat" w:eastAsia="Montserrat" w:hAnsi="Montserrat"/>
          <w:i w:val="1"/>
          <w:color w:val="000000"/>
          <w:sz w:val="18"/>
          <w:szCs w:val="18"/>
          <w:rtl w:val="0"/>
        </w:rPr>
        <w:t xml:space="preserve">Critères d’évaluation d'une </w:t>
      </w:r>
      <w:r w:rsidDel="00000000" w:rsidR="00000000" w:rsidRPr="00000000">
        <w:rPr>
          <w:rFonts w:ascii="Montserrat" w:cs="Montserrat" w:eastAsia="Montserrat" w:hAnsi="Montserrat"/>
          <w:i w:val="1"/>
          <w:color w:val="000000"/>
          <w:sz w:val="18"/>
          <w:szCs w:val="18"/>
          <w:rtl w:val="0"/>
        </w:rPr>
        <w:t xml:space="preserve">RÉL</w:t>
      </w:r>
      <w:r w:rsidDel="00000000" w:rsidR="00000000" w:rsidRPr="00000000">
        <w:rPr>
          <w:rFonts w:ascii="Montserrat" w:cs="Montserrat" w:eastAsia="Montserrat" w:hAnsi="Montserrat"/>
          <w:i w:val="1"/>
          <w:color w:val="000000"/>
          <w:sz w:val="18"/>
          <w:szCs w:val="18"/>
          <w:rtl w:val="0"/>
        </w:rPr>
        <w:t xml:space="preserve"> au niveau élémentaire et secondaire pour le FLS</w:t>
      </w:r>
      <w:r w:rsidDel="00000000" w:rsidR="00000000" w:rsidRPr="00000000">
        <w:rPr>
          <w:rFonts w:ascii="Montserrat" w:cs="Montserrat" w:eastAsia="Montserrat" w:hAnsi="Montserrat"/>
          <w:color w:val="000000"/>
          <w:sz w:val="18"/>
          <w:szCs w:val="18"/>
          <w:rtl w:val="0"/>
        </w:rPr>
        <w:t xml:space="preserve">, est adaptée de </w:t>
      </w:r>
      <w:r w:rsidDel="00000000" w:rsidR="00000000" w:rsidRPr="00000000">
        <w:rPr>
          <w:rFonts w:ascii="Montserrat" w:cs="Montserrat" w:eastAsia="Montserrat" w:hAnsi="Montserrat"/>
          <w:i w:val="1"/>
          <w:color w:val="000000"/>
          <w:sz w:val="18"/>
          <w:szCs w:val="18"/>
          <w:rtl w:val="0"/>
        </w:rPr>
        <w:t xml:space="preserve">Grille d'évaluation ou de co-évaluation d'une ressource pédagogique ou didactique</w:t>
      </w:r>
      <w:r w:rsidDel="00000000" w:rsidR="00000000" w:rsidRPr="00000000">
        <w:rPr>
          <w:rFonts w:ascii="Montserrat" w:cs="Montserrat" w:eastAsia="Montserrat" w:hAnsi="Montserrat"/>
          <w:i w:val="1"/>
          <w:color w:val="000000"/>
          <w:sz w:val="18"/>
          <w:szCs w:val="18"/>
          <w:rtl w:val="0"/>
        </w:rPr>
        <w:t xml:space="preserve"> </w:t>
      </w:r>
      <w:r w:rsidDel="00000000" w:rsidR="00000000" w:rsidRPr="00000000">
        <w:rPr>
          <w:rFonts w:ascii="Montserrat" w:cs="Montserrat" w:eastAsia="Montserrat" w:hAnsi="Montserrat"/>
          <w:color w:val="000000"/>
          <w:sz w:val="18"/>
          <w:szCs w:val="18"/>
          <w:rtl w:val="0"/>
        </w:rPr>
        <w:t xml:space="preserve">par Yarubi Diaz et Dominique Scheffel-Dunand utilisé sous licence  </w:t>
      </w:r>
      <w:hyperlink r:id="rId2">
        <w:r w:rsidDel="00000000" w:rsidR="00000000" w:rsidRPr="00000000">
          <w:rPr>
            <w:rFonts w:ascii="Montserrat" w:cs="Montserrat" w:eastAsia="Montserrat" w:hAnsi="Montserrat"/>
            <w:color w:val="1155cc"/>
            <w:sz w:val="18"/>
            <w:szCs w:val="18"/>
            <w:u w:val="single"/>
            <w:rtl w:val="0"/>
          </w:rPr>
          <w:t xml:space="preserve">CC BY-NC-SA 4.0</w:t>
        </w:r>
      </w:hyperlink>
      <w:r w:rsidDel="00000000" w:rsidR="00000000" w:rsidRPr="00000000">
        <w:rPr>
          <w:rFonts w:ascii="Montserrat" w:cs="Montserrat" w:eastAsia="Montserrat" w:hAnsi="Montserrat"/>
          <w:color w:val="000000"/>
          <w:sz w:val="18"/>
          <w:szCs w:val="18"/>
          <w:rtl w:val="0"/>
        </w:rPr>
        <w:t xml:space="preserve">, elle-même</w:t>
      </w:r>
      <w:r w:rsidDel="00000000" w:rsidR="00000000" w:rsidRPr="00000000">
        <w:rPr>
          <w:rFonts w:ascii="Montserrat" w:cs="Montserrat" w:eastAsia="Montserrat" w:hAnsi="Montserrat"/>
          <w:color w:val="000000"/>
          <w:sz w:val="18"/>
          <w:szCs w:val="18"/>
          <w:rtl w:val="0"/>
        </w:rPr>
        <w:t xml:space="preserve"> adaptée de </w:t>
      </w:r>
      <w:hyperlink r:id="rId3">
        <w:r w:rsidDel="00000000" w:rsidR="00000000" w:rsidRPr="00000000">
          <w:rPr>
            <w:rFonts w:ascii="Montserrat" w:cs="Montserrat" w:eastAsia="Montserrat" w:hAnsi="Montserrat"/>
            <w:i w:val="1"/>
            <w:color w:val="1155cc"/>
            <w:sz w:val="18"/>
            <w:szCs w:val="18"/>
            <w:u w:val="single"/>
            <w:rtl w:val="0"/>
          </w:rPr>
          <w:t xml:space="preserve">Self-Publishing Guide</w:t>
        </w:r>
      </w:hyperlink>
      <w:r w:rsidDel="00000000" w:rsidR="00000000" w:rsidRPr="00000000">
        <w:rPr>
          <w:rFonts w:ascii="Montserrat" w:cs="Montserrat" w:eastAsia="Montserrat" w:hAnsi="Montserrat"/>
          <w:color w:val="000000"/>
          <w:sz w:val="18"/>
          <w:szCs w:val="18"/>
          <w:rtl w:val="0"/>
        </w:rPr>
        <w:t xml:space="preserve"> par Lauri M. Aesoph utilisé sous licence </w:t>
      </w:r>
      <w:hyperlink r:id="rId4">
        <w:r w:rsidDel="00000000" w:rsidR="00000000" w:rsidRPr="00000000">
          <w:rPr>
            <w:rFonts w:ascii="Montserrat" w:cs="Montserrat" w:eastAsia="Montserrat" w:hAnsi="Montserrat"/>
            <w:color w:val="1155cc"/>
            <w:sz w:val="18"/>
            <w:szCs w:val="18"/>
            <w:u w:val="single"/>
            <w:rtl w:val="0"/>
          </w:rPr>
          <w:t xml:space="preserve">CC BY 4.0</w:t>
        </w:r>
      </w:hyperlink>
      <w:r w:rsidDel="00000000" w:rsidR="00000000" w:rsidRPr="00000000">
        <w:rPr>
          <w:rFonts w:ascii="Montserrat" w:cs="Montserrat" w:eastAsia="Montserrat" w:hAnsi="Montserrat"/>
          <w:color w:val="000000"/>
          <w:sz w:val="18"/>
          <w:szCs w:val="18"/>
          <w:rtl w:val="0"/>
        </w:rPr>
        <w:t xml:space="preserve">. </w:t>
      </w:r>
      <w:r w:rsidDel="00000000" w:rsidR="00000000" w:rsidRPr="00000000">
        <w:rPr>
          <w:rFonts w:ascii="Montserrat" w:cs="Montserrat" w:eastAsia="Montserrat" w:hAnsi="Montserrat"/>
          <w:i w:val="1"/>
          <w:color w:val="000000"/>
          <w:sz w:val="18"/>
          <w:szCs w:val="18"/>
          <w:rtl w:val="0"/>
        </w:rPr>
        <w:t xml:space="preserve">Critères d’évaluation d'une </w:t>
      </w:r>
      <w:r w:rsidDel="00000000" w:rsidR="00000000" w:rsidRPr="00000000">
        <w:rPr>
          <w:rFonts w:ascii="Montserrat" w:cs="Montserrat" w:eastAsia="Montserrat" w:hAnsi="Montserrat"/>
          <w:i w:val="1"/>
          <w:color w:val="000000"/>
          <w:sz w:val="18"/>
          <w:szCs w:val="18"/>
          <w:rtl w:val="0"/>
        </w:rPr>
        <w:t xml:space="preserve">RÉL</w:t>
      </w:r>
      <w:r w:rsidDel="00000000" w:rsidR="00000000" w:rsidRPr="00000000">
        <w:rPr>
          <w:rFonts w:ascii="Montserrat" w:cs="Montserrat" w:eastAsia="Montserrat" w:hAnsi="Montserrat"/>
          <w:i w:val="1"/>
          <w:color w:val="000000"/>
          <w:sz w:val="18"/>
          <w:szCs w:val="18"/>
          <w:rtl w:val="0"/>
        </w:rPr>
        <w:t xml:space="preserve"> au niveau élémentaire et secondaire pour le FLS </w:t>
      </w:r>
      <w:r w:rsidDel="00000000" w:rsidR="00000000" w:rsidRPr="00000000">
        <w:rPr>
          <w:rFonts w:ascii="Montserrat" w:cs="Montserrat" w:eastAsia="Montserrat" w:hAnsi="Montserrat"/>
          <w:color w:val="000000"/>
          <w:sz w:val="18"/>
          <w:szCs w:val="18"/>
          <w:rtl w:val="0"/>
        </w:rPr>
        <w:t xml:space="preserve"> est</w:t>
      </w:r>
      <w:r w:rsidDel="00000000" w:rsidR="00000000" w:rsidRPr="00000000">
        <w:rPr>
          <w:rFonts w:ascii="Montserrat" w:cs="Montserrat" w:eastAsia="Montserrat" w:hAnsi="Montserrat"/>
          <w:color w:val="000000"/>
          <w:sz w:val="18"/>
          <w:szCs w:val="18"/>
          <w:rtl w:val="0"/>
        </w:rPr>
        <w:t xml:space="preserve"> placée sous licence </w:t>
      </w:r>
      <w:hyperlink r:id="rId5">
        <w:r w:rsidDel="00000000" w:rsidR="00000000" w:rsidRPr="00000000">
          <w:rPr>
            <w:rFonts w:ascii="Montserrat" w:cs="Montserrat" w:eastAsia="Montserrat" w:hAnsi="Montserrat"/>
            <w:color w:val="1155cc"/>
            <w:sz w:val="18"/>
            <w:szCs w:val="18"/>
            <w:u w:val="single"/>
            <w:rtl w:val="0"/>
          </w:rPr>
          <w:t xml:space="preserve">CC BY-NC-SA 4.0</w:t>
        </w:r>
      </w:hyperlink>
      <w:r w:rsidDel="00000000" w:rsidR="00000000" w:rsidRPr="00000000">
        <w:rPr>
          <w:rFonts w:ascii="Montserrat" w:cs="Montserrat" w:eastAsia="Montserrat" w:hAnsi="Montserrat"/>
          <w:color w:val="000000"/>
          <w:sz w:val="18"/>
          <w:szCs w:val="18"/>
          <w:rtl w:val="0"/>
        </w:rPr>
        <w:t xml:space="preserve"> </w:t>
      </w:r>
      <w:r w:rsidDel="00000000" w:rsidR="00000000" w:rsidRPr="00000000">
        <w:rPr>
          <w:rFonts w:ascii="Montserrat" w:cs="Montserrat" w:eastAsia="Montserrat" w:hAnsi="Montserrat"/>
          <w:color w:val="000000"/>
          <w:sz w:val="18"/>
          <w:szCs w:val="18"/>
          <w:rtl w:val="0"/>
        </w:rPr>
        <w:t xml:space="preserve">par Mirela Cherciov, Muriel Péguret  et Pauline Le Bot.</w:t>
      </w:r>
    </w:p>
    <w:p w:rsidR="00000000" w:rsidDel="00000000" w:rsidP="00000000" w:rsidRDefault="00000000" w:rsidRPr="00000000" w14:paraId="0000006F">
      <w:pPr>
        <w:spacing w:after="0" w:line="240" w:lineRule="auto"/>
        <w:rPr>
          <w:sz w:val="16"/>
          <w:szCs w:val="16"/>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tabs>
        <w:tab w:val="center" w:leader="none" w:pos="4703"/>
        <w:tab w:val="right" w:leader="none" w:pos="9406"/>
      </w:tabs>
      <w:spacing w:after="0" w:line="240" w:lineRule="auto"/>
      <w:jc w:val="cente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8220075</wp:posOffset>
          </wp:positionH>
          <wp:positionV relativeFrom="paragraph">
            <wp:posOffset>114300</wp:posOffset>
          </wp:positionV>
          <wp:extent cx="1351418" cy="56309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51418" cy="563091"/>
                  </a:xfrm>
                  <a:prstGeom prst="rect"/>
                  <a:ln/>
                </pic:spPr>
              </pic:pic>
            </a:graphicData>
          </a:graphic>
        </wp:anchor>
      </w:drawing>
    </w:r>
  </w:p>
  <w:p w:rsidR="00000000" w:rsidDel="00000000" w:rsidP="00000000" w:rsidRDefault="00000000" w:rsidRPr="00000000" w14:paraId="00000067">
    <w:pPr>
      <w:pStyle w:val="Title"/>
      <w:spacing w:after="0" w:line="240" w:lineRule="auto"/>
      <w:ind w:left="-425.1968503937008" w:hanging="114.80314960629919"/>
      <w:jc w:val="left"/>
      <w:rPr>
        <w:sz w:val="44"/>
        <w:szCs w:val="44"/>
      </w:rPr>
    </w:pPr>
    <w:bookmarkStart w:colFirst="0" w:colLast="0" w:name="_pudwltqi3309" w:id="1"/>
    <w:bookmarkEnd w:id="1"/>
    <w:r w:rsidDel="00000000" w:rsidR="00000000" w:rsidRPr="00000000">
      <w:rPr>
        <w:color w:val="5b2b6b"/>
        <w:sz w:val="44"/>
        <w:szCs w:val="44"/>
        <w:rtl w:val="0"/>
      </w:rPr>
      <w:t xml:space="preserve">Étape 5 : </w:t>
    </w:r>
    <w:r w:rsidDel="00000000" w:rsidR="00000000" w:rsidRPr="00000000">
      <w:rPr>
        <w:color w:val="5b2b6b"/>
        <w:sz w:val="44"/>
        <w:szCs w:val="44"/>
        <w:rtl w:val="0"/>
      </w:rPr>
      <w:t xml:space="preserve">Validation</w:t>
    </w:r>
    <w:r w:rsidDel="00000000" w:rsidR="00000000" w:rsidRPr="00000000">
      <w:rPr>
        <w:rtl w:val="0"/>
      </w:rPr>
    </w:r>
  </w:p>
  <w:p w:rsidR="00000000" w:rsidDel="00000000" w:rsidP="00000000" w:rsidRDefault="00000000" w:rsidRPr="00000000" w14:paraId="00000068">
    <w:pPr>
      <w:pStyle w:val="Subtitle"/>
      <w:spacing w:after="0" w:line="264" w:lineRule="auto"/>
      <w:ind w:left="-566.9291338582677" w:firstLine="0"/>
      <w:jc w:val="left"/>
      <w:rPr>
        <w:sz w:val="30"/>
        <w:szCs w:val="30"/>
      </w:rPr>
    </w:pPr>
    <w:bookmarkStart w:colFirst="0" w:colLast="0" w:name="_1yrzafvu4n6f" w:id="2"/>
    <w:bookmarkEnd w:id="2"/>
    <w:r w:rsidDel="00000000" w:rsidR="00000000" w:rsidRPr="00000000">
      <w:rPr>
        <w:rFonts w:ascii="Asap" w:cs="Asap" w:eastAsia="Asap" w:hAnsi="Asap"/>
        <w:b w:val="1"/>
        <w:sz w:val="30"/>
        <w:szCs w:val="30"/>
        <w:rtl w:val="0"/>
      </w:rPr>
      <w:t xml:space="preserve">Critères d’évaluation </w:t>
    </w:r>
    <w:r w:rsidDel="00000000" w:rsidR="00000000" w:rsidRPr="00000000">
      <w:rPr>
        <w:rFonts w:ascii="Asap" w:cs="Asap" w:eastAsia="Asap" w:hAnsi="Asap"/>
        <w:b w:val="1"/>
        <w:sz w:val="30"/>
        <w:szCs w:val="30"/>
        <w:rtl w:val="0"/>
      </w:rPr>
      <w:t xml:space="preserve">d'une </w:t>
    </w:r>
    <w:r w:rsidDel="00000000" w:rsidR="00000000" w:rsidRPr="00000000">
      <w:rPr>
        <w:rFonts w:ascii="Asap" w:cs="Asap" w:eastAsia="Asap" w:hAnsi="Asap"/>
        <w:b w:val="1"/>
        <w:sz w:val="30"/>
        <w:szCs w:val="30"/>
        <w:rtl w:val="0"/>
      </w:rPr>
      <w:t xml:space="preserve">RÉL</w:t>
    </w:r>
    <w:r w:rsidDel="00000000" w:rsidR="00000000" w:rsidRPr="00000000">
      <w:rPr>
        <w:rFonts w:ascii="Asap" w:cs="Asap" w:eastAsia="Asap" w:hAnsi="Asap"/>
        <w:b w:val="1"/>
        <w:sz w:val="30"/>
        <w:szCs w:val="30"/>
        <w:rtl w:val="0"/>
      </w:rPr>
      <w:t xml:space="preserve"> au niveau élémentaire et secondaire pour le</w:t>
    </w:r>
    <w:r w:rsidDel="00000000" w:rsidR="00000000" w:rsidRPr="00000000">
      <w:rPr>
        <w:rFonts w:ascii="Asap" w:cs="Asap" w:eastAsia="Asap" w:hAnsi="Asap"/>
        <w:b w:val="1"/>
        <w:sz w:val="30"/>
        <w:szCs w:val="30"/>
        <w:rtl w:val="0"/>
      </w:rPr>
      <w:t xml:space="preserve"> FLS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tabs>
        <w:tab w:val="center" w:leader="none" w:pos="4703"/>
        <w:tab w:val="right" w:leader="none" w:pos="10129.606299212599"/>
      </w:tabs>
      <w:spacing w:after="0" w:line="240" w:lineRule="auto"/>
      <w:ind w:right="-778.582677165353"/>
      <w:jc w:val="right"/>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sz w:val="24"/>
        <w:szCs w:val="24"/>
        <w:lang w:val="fr-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b w:val="1"/>
      <w:color w:val="6b407a"/>
      <w:sz w:val="32"/>
      <w:szCs w:val="32"/>
    </w:rPr>
  </w:style>
  <w:style w:type="paragraph" w:styleId="Heading2">
    <w:name w:val="heading 2"/>
    <w:basedOn w:val="Normal"/>
    <w:next w:val="Normal"/>
    <w:pPr>
      <w:keepNext w:val="1"/>
      <w:keepLines w:val="1"/>
      <w:spacing w:after="0" w:before="40" w:lineRule="auto"/>
    </w:pPr>
    <w:rPr>
      <w:b w:val="1"/>
      <w:color w:val="006479"/>
      <w:sz w:val="26"/>
      <w:szCs w:val="26"/>
    </w:rPr>
  </w:style>
  <w:style w:type="paragraph" w:styleId="Heading3">
    <w:name w:val="heading 3"/>
    <w:basedOn w:val="Normal"/>
    <w:next w:val="Normal"/>
    <w:pPr>
      <w:keepNext w:val="1"/>
      <w:keepLines w:val="1"/>
      <w:spacing w:after="0" w:before="40" w:lineRule="auto"/>
    </w:pPr>
    <w:rPr>
      <w:b w:val="1"/>
      <w:color w:val="90a03a"/>
    </w:rPr>
  </w:style>
  <w:style w:type="paragraph" w:styleId="Heading4">
    <w:name w:val="heading 4"/>
    <w:basedOn w:val="Normal"/>
    <w:next w:val="Normal"/>
    <w:pPr>
      <w:keepNext w:val="1"/>
      <w:keepLines w:val="1"/>
      <w:spacing w:after="0" w:before="40" w:lineRule="auto"/>
    </w:pPr>
    <w:rPr>
      <w:i w:val="1"/>
      <w:color w:val="933493"/>
    </w:rPr>
  </w:style>
  <w:style w:type="paragraph" w:styleId="Heading5">
    <w:name w:val="heading 5"/>
    <w:basedOn w:val="Normal"/>
    <w:next w:val="Normal"/>
    <w:pPr>
      <w:keepNext w:val="1"/>
      <w:keepLines w:val="1"/>
      <w:spacing w:after="0" w:before="40" w:lineRule="auto"/>
    </w:pPr>
    <w:rPr>
      <w:color w:val="b77ab5"/>
    </w:rPr>
  </w:style>
  <w:style w:type="paragraph" w:styleId="Heading6">
    <w:name w:val="heading 6"/>
    <w:basedOn w:val="Normal"/>
    <w:next w:val="Normal"/>
    <w:pPr>
      <w:keepNext w:val="1"/>
      <w:keepLines w:val="1"/>
      <w:spacing w:after="0" w:before="40" w:lineRule="auto"/>
    </w:pPr>
    <w:rPr>
      <w:rFonts w:ascii="Calibri" w:cs="Calibri" w:eastAsia="Calibri" w:hAnsi="Calibri"/>
      <w:color w:val="b77ab5"/>
    </w:rPr>
  </w:style>
  <w:style w:type="paragraph" w:styleId="Title">
    <w:name w:val="Title"/>
    <w:basedOn w:val="Normal"/>
    <w:next w:val="Normal"/>
    <w:pPr>
      <w:spacing w:after="60" w:line="276" w:lineRule="auto"/>
      <w:jc w:val="center"/>
    </w:pPr>
    <w:rPr>
      <w:rFonts w:ascii="Asap" w:cs="Asap" w:eastAsia="Asap" w:hAnsi="Asap"/>
      <w:b w:val="1"/>
      <w:color w:val="6b407a"/>
      <w:sz w:val="76"/>
      <w:szCs w:val="76"/>
    </w:rPr>
  </w:style>
  <w:style w:type="paragraph" w:styleId="Subtitle">
    <w:name w:val="Subtitle"/>
    <w:basedOn w:val="Normal"/>
    <w:next w:val="Normal"/>
    <w:pPr>
      <w:spacing w:after="60" w:line="276" w:lineRule="auto"/>
      <w:jc w:val="center"/>
    </w:pPr>
    <w:rPr>
      <w:rFonts w:ascii="Asap Medium" w:cs="Asap Medium" w:eastAsia="Asap Medium" w:hAnsi="Asap Medium"/>
      <w:color w:val="5b2b6b"/>
      <w:sz w:val="68"/>
      <w:szCs w:val="6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AsapMedium-italic.ttf"/><Relationship Id="rId10" Type="http://schemas.openxmlformats.org/officeDocument/2006/relationships/font" Target="fonts/AsapMedium-bold.ttf"/><Relationship Id="rId12" Type="http://schemas.openxmlformats.org/officeDocument/2006/relationships/font" Target="fonts/AsapMedium-boldItalic.ttf"/><Relationship Id="rId9" Type="http://schemas.openxmlformats.org/officeDocument/2006/relationships/font" Target="fonts/AsapMedium-regular.ttf"/><Relationship Id="rId5" Type="http://schemas.openxmlformats.org/officeDocument/2006/relationships/font" Target="fonts/Asap-regular.ttf"/><Relationship Id="rId6" Type="http://schemas.openxmlformats.org/officeDocument/2006/relationships/font" Target="fonts/Asap-bold.ttf"/><Relationship Id="rId7" Type="http://schemas.openxmlformats.org/officeDocument/2006/relationships/font" Target="fonts/Asap-italic.ttf"/><Relationship Id="rId8" Type="http://schemas.openxmlformats.org/officeDocument/2006/relationships/font" Target="fonts/Asap-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education.gouv.qc.ca/fileadmin/site_web/documents/education/Guide_bonnes_pratique_REN-VF.pdf" TargetMode="External"/><Relationship Id="rId2" Type="http://schemas.openxmlformats.org/officeDocument/2006/relationships/hyperlink" Target="https://creativecommons.org/licenses/by-nc-sa/4.0/deed.fr" TargetMode="External"/><Relationship Id="rId3" Type="http://schemas.openxmlformats.org/officeDocument/2006/relationships/hyperlink" Target="https://opentextbc.ca/selfpublishguide/" TargetMode="External"/><Relationship Id="rId4" Type="http://schemas.openxmlformats.org/officeDocument/2006/relationships/hyperlink" Target="https://creativecommons.org/licenses/by/4.0/" TargetMode="External"/><Relationship Id="rId5" Type="http://schemas.openxmlformats.org/officeDocument/2006/relationships/hyperlink" Target="https://creativecommons.org/licenses/by-nc-sa/4.0/deed.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