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b w:val="1"/>
          <w:color w:val="6b407a"/>
          <w:sz w:val="32"/>
          <w:szCs w:val="32"/>
        </w:rPr>
      </w:pPr>
      <w:bookmarkStart w:colFirst="0" w:colLast="0" w:name="_bv26nwkzrjd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>
          <w:sz w:val="38"/>
          <w:szCs w:val="38"/>
        </w:rPr>
      </w:pPr>
      <w:bookmarkStart w:colFirst="0" w:colLast="0" w:name="_aieqvycvr51x" w:id="1"/>
      <w:bookmarkEnd w:id="1"/>
      <w:r w:rsidDel="00000000" w:rsidR="00000000" w:rsidRPr="00000000">
        <w:rPr>
          <w:sz w:val="38"/>
          <w:szCs w:val="38"/>
          <w:rtl w:val="0"/>
        </w:rPr>
        <w:t xml:space="preserve">Checklist of criteria for evaluating a new IC resource or activity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340"/>
        <w:tblGridChange w:id="0">
          <w:tblGrid>
            <w:gridCol w:w="5325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sap" w:cs="Asap" w:eastAsia="Asap" w:hAnsi="Asap"/>
                <w:b w:val="1"/>
                <w:color w:val="f7f7f8"/>
              </w:rPr>
            </w:pPr>
            <w:r w:rsidDel="00000000" w:rsidR="00000000" w:rsidRPr="00000000">
              <w:rPr>
                <w:rFonts w:ascii="Asap" w:cs="Asap" w:eastAsia="Asap" w:hAnsi="Asap"/>
                <w:b w:val="1"/>
                <w:color w:val="f7f7f8"/>
                <w:rtl w:val="0"/>
              </w:rPr>
              <w:t xml:space="preserve">Indicators </w:t>
            </w:r>
          </w:p>
        </w:tc>
        <w:tc>
          <w:tcPr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sap" w:cs="Asap" w:eastAsia="Asap" w:hAnsi="Asap"/>
                <w:b w:val="1"/>
                <w:color w:val="f7f7f8"/>
              </w:rPr>
            </w:pPr>
            <w:r w:rsidDel="00000000" w:rsidR="00000000" w:rsidRPr="00000000">
              <w:rPr>
                <w:rFonts w:ascii="Asap" w:cs="Asap" w:eastAsia="Asap" w:hAnsi="Asap"/>
                <w:b w:val="1"/>
                <w:color w:val="f7f7f8"/>
                <w:rtl w:val="0"/>
              </w:rPr>
              <w:t xml:space="preserve">Your comments </w:t>
            </w:r>
          </w:p>
        </w:tc>
      </w:tr>
      <w:tr>
        <w:trPr>
          <w:cantSplit w:val="0"/>
          <w:trHeight w:val="2366.79999999999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Allowing continuity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the resource/activity allow for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continuous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?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we will further explore, IC development is a construct that is built over time. Therefore, in order to be able to capture this progression, a series of such activities would ideally unfold over a longer period of time.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.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Allowing observation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this resource/activity allow you to become an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 the process of IC development in your students?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Additional reflexive questions: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Does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an activity that involves new ways to interact (</w:t>
            </w: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savoir-faire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) between students allow for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the development of this skill to be observed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Since </w:t>
            </w: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savoir 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is mostly an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observable competency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, do the exams and quizzes used assess learners’ </w:t>
            </w: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savoir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4.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Encouraging curiosity, respect and conscious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Does the resource/activity trigger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curiosity, interest, respect for the unknown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as well as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conscious reflection 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on interculturality, which are all relevant to assess </w:t>
            </w: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savoir-être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Showing reliability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To what degree the information you are gaining through observing this activity is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reliable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 relation to the learner evaluation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rubrics established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851" w:top="1359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sap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sap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-802" w:hanging="851"/>
      <w:jc w:val="left"/>
      <w:rPr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810500" cy="508127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59170" l="0" r="0" t="15892"/>
                  <a:stretch>
                    <a:fillRect/>
                  </a:stretch>
                </pic:blipFill>
                <pic:spPr>
                  <a:xfrm>
                    <a:off x="0" y="0"/>
                    <a:ext cx="7810500" cy="5081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Creative Commons?</w:t>
    </w:r>
  </w:p>
  <w:p w:rsidR="00000000" w:rsidDel="00000000" w:rsidP="00000000" w:rsidRDefault="00000000" w:rsidRPr="00000000" w14:paraId="00000023">
    <w:pPr>
      <w:tabs>
        <w:tab w:val="center" w:leader="none" w:pos="4703"/>
        <w:tab w:val="right" w:leader="none" w:pos="10489"/>
      </w:tabs>
      <w:spacing w:after="0" w:line="240" w:lineRule="auto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Nom du cours, année?</w:t>
      <w:tab/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703"/>
        <w:tab w:val="right" w:leader="none" w:pos="9406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page">
            <wp:posOffset>6854825</wp:posOffset>
          </wp:positionH>
          <wp:positionV relativeFrom="page">
            <wp:posOffset>28575</wp:posOffset>
          </wp:positionV>
          <wp:extent cx="834390" cy="834390"/>
          <wp:effectExtent b="0" l="0" r="0" t="0"/>
          <wp:wrapSquare wrapText="bothSides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390" cy="8343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Style w:val="Title"/>
      <w:spacing w:after="0" w:line="264" w:lineRule="auto"/>
      <w:ind w:left="-566.9291338582677" w:firstLine="0"/>
      <w:jc w:val="left"/>
      <w:rPr>
        <w:sz w:val="22"/>
        <w:szCs w:val="22"/>
      </w:rPr>
    </w:pPr>
    <w:bookmarkStart w:colFirst="0" w:colLast="0" w:name="_kq6sjr3t3bg" w:id="2"/>
    <w:bookmarkEnd w:id="2"/>
    <w:r w:rsidDel="00000000" w:rsidR="00000000" w:rsidRPr="00000000">
      <w:rPr>
        <w:sz w:val="22"/>
        <w:szCs w:val="22"/>
        <w:rtl w:val="0"/>
      </w:rPr>
      <w:t xml:space="preserve">Checklist of criteria for evaluating a new IC resource or activity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64" w:lineRule="auto"/>
      <w:ind w:left="-566.9291338582677" w:right="-808.582677165353" w:hanging="15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created </w:t>
    </w:r>
    <w:r w:rsidDel="00000000" w:rsidR="00000000" w:rsidRPr="00000000">
      <w:rPr>
        <w:sz w:val="22"/>
        <w:szCs w:val="22"/>
        <w:rtl w:val="0"/>
      </w:rPr>
      <w:t xml:space="preserve">by Mirela Cherciov for Camerise, </w:t>
    </w:r>
    <w:hyperlink r:id="rId2">
      <w:r w:rsidDel="00000000" w:rsidR="00000000" w:rsidRPr="00000000">
        <w:rPr>
          <w:color w:val="1155cc"/>
          <w:sz w:val="22"/>
          <w:szCs w:val="22"/>
          <w:u w:val="single"/>
          <w:rtl w:val="0"/>
        </w:rPr>
        <w:t xml:space="preserve">CC BY-NC-SA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Style w:val="Subtitle"/>
      <w:spacing w:after="0" w:line="264" w:lineRule="auto"/>
      <w:ind w:left="-566.9291338582677" w:firstLine="0"/>
      <w:jc w:val="left"/>
      <w:rPr>
        <w:sz w:val="18"/>
        <w:szCs w:val="18"/>
      </w:rPr>
    </w:pPr>
    <w:bookmarkStart w:colFirst="0" w:colLast="0" w:name="_1yrzafvu4n6f" w:id="3"/>
    <w:bookmarkEnd w:id="3"/>
    <w:r w:rsidDel="00000000" w:rsidR="00000000" w:rsidRPr="00000000">
      <w:rPr>
        <w:sz w:val="18"/>
        <w:szCs w:val="18"/>
        <w:rtl w:val="0"/>
      </w:rPr>
      <w:t xml:space="preserve">is part of the course </w:t>
    </w:r>
    <w:r w:rsidDel="00000000" w:rsidR="00000000" w:rsidRPr="00000000">
      <w:rPr>
        <w:i w:val="1"/>
        <w:sz w:val="18"/>
        <w:szCs w:val="18"/>
        <w:rtl w:val="0"/>
      </w:rPr>
      <w:t xml:space="preserve">Intercultural Competence in FSL: A Teacher Practical Collaboration Envisioning a Change of Action in French Teaching and Learning </w:t>
    </w:r>
    <w:r w:rsidDel="00000000" w:rsidR="00000000" w:rsidRPr="00000000">
      <w:rPr>
        <w:sz w:val="18"/>
        <w:szCs w:val="18"/>
        <w:rtl w:val="0"/>
      </w:rPr>
      <w:t xml:space="preserve">by Taciana de Lira e Silva, Jason Harper, Mirela Cherciov and Pauline Le Bot. </w:t>
    </w: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  <w:rtl w:val="0"/>
      </w:rPr>
      <w:t xml:space="preserve">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CC BY-NC-SA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703"/>
        <w:tab w:val="right" w:leader="none" w:pos="10129.606299212599"/>
      </w:tabs>
      <w:spacing w:after="0" w:line="240" w:lineRule="auto"/>
      <w:ind w:right="-778.582677165353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540000" cy="54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6b407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64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b w:val="1"/>
      <w:color w:val="90a03a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93349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b77a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b77ab5"/>
    </w:rPr>
  </w:style>
  <w:style w:type="paragraph" w:styleId="Title">
    <w:name w:val="Title"/>
    <w:basedOn w:val="Normal"/>
    <w:next w:val="Normal"/>
    <w:pPr>
      <w:spacing w:after="60" w:line="276" w:lineRule="auto"/>
      <w:jc w:val="center"/>
    </w:pPr>
    <w:rPr>
      <w:rFonts w:ascii="Asap" w:cs="Asap" w:eastAsia="Asap" w:hAnsi="Asap"/>
      <w:b w:val="1"/>
      <w:color w:val="6b407a"/>
      <w:sz w:val="76"/>
      <w:szCs w:val="76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Asap Medium" w:cs="Asap Medium" w:eastAsia="Asap Medium" w:hAnsi="Asap Medium"/>
      <w:color w:val="5b2b6b"/>
      <w:sz w:val="68"/>
      <w:szCs w:val="6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AsapMedium-italic.ttf"/><Relationship Id="rId10" Type="http://schemas.openxmlformats.org/officeDocument/2006/relationships/font" Target="fonts/AsapMedium-bold.ttf"/><Relationship Id="rId12" Type="http://schemas.openxmlformats.org/officeDocument/2006/relationships/font" Target="fonts/AsapMedium-boldItalic.ttf"/><Relationship Id="rId9" Type="http://schemas.openxmlformats.org/officeDocument/2006/relationships/font" Target="fonts/AsapMedium-regular.ttf"/><Relationship Id="rId5" Type="http://schemas.openxmlformats.org/officeDocument/2006/relationships/font" Target="fonts/Asap-regular.ttf"/><Relationship Id="rId6" Type="http://schemas.openxmlformats.org/officeDocument/2006/relationships/font" Target="fonts/Asap-bold.ttf"/><Relationship Id="rId7" Type="http://schemas.openxmlformats.org/officeDocument/2006/relationships/font" Target="fonts/Asap-italic.ttf"/><Relationship Id="rId8" Type="http://schemas.openxmlformats.org/officeDocument/2006/relationships/font" Target="fonts/Asap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deed.fr" TargetMode="External"/><Relationship Id="rId3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